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/>
      </w:pPr>
      <w:bookmarkStart w:colFirst="0" w:colLast="0" w:name="_326qcytsuoh1" w:id="0"/>
      <w:bookmarkEnd w:id="0"/>
      <w:r w:rsidDel="00000000" w:rsidR="00000000" w:rsidRPr="00000000">
        <w:rPr>
          <w:rtl w:val="0"/>
        </w:rPr>
        <w:t xml:space="preserve">Kritéria přijímacího řízení 2018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 obor Gymnázium KKOV 7941K/81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Ředitel školy rozhodl v souladu s §60 zákona 561/2004 ve znění pozdějších předpisů o konání přijímací zkoušky v rámci přijímacího řízení a stanovuje pro ni tato jednotná kritéria.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 1. září 2018 bude otevřena jedna třída osmiletého oboru </w:t>
      </w:r>
      <w:r w:rsidDel="00000000" w:rsidR="00000000" w:rsidRPr="00000000">
        <w:rPr>
          <w:b w:val="1"/>
          <w:sz w:val="20"/>
          <w:szCs w:val="20"/>
          <w:rtl w:val="0"/>
        </w:rPr>
        <w:t xml:space="preserve">Gymnázium (KKOV 7941K/81)</w:t>
      </w:r>
      <w:r w:rsidDel="00000000" w:rsidR="00000000" w:rsidRPr="00000000">
        <w:rPr>
          <w:sz w:val="20"/>
          <w:szCs w:val="20"/>
          <w:rtl w:val="0"/>
        </w:rPr>
        <w:t xml:space="preserve">. Ke vzdělávání může být přijato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maximálně 30 žáků, kteří úspěšně absolvovali 5. třídu základní školy.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Výuka bude probíhat první 4 roky podle Rámcového vzdělávacího programu pro základní vzdělávání, další 4 roky podle Rámcového vzdělávacího programu pro gymnázia.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Přijímací zkouška se skládá z těchto částí: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Písemný test z matematiky (zadává a vyhodnocuje společnost CERMAT)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Písemný test z českého jazyka a literatury (zadává a vyhodnocuje společnost CERMAT)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Posouzení hodnocení na vysvědčení z 1. pololetí 5. třídy ZŠ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Postup při přidělování počtu bodů v přijímacím řízení: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Každý uchazeč může získat maximálně 105 bodů.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Body za jednotlivé části přijímací zkoušky budou přidělovány takto: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test z matematiky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test z českého jazyka a literatury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 bodů za průměr známek na vysvědčení v 1. pololetí 5. třídy ZŠ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108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žákům s vyznamenáním budou za počty dvojek na vysvědčení za  1. pololetí 5. třídy přidělovány body dle následující tabulky:</w:t>
      </w:r>
      <w:r w:rsidDel="00000000" w:rsidR="00000000" w:rsidRPr="00000000">
        <w:rPr>
          <w:rtl w:val="0"/>
        </w:rPr>
      </w:r>
    </w:p>
    <w:tbl>
      <w:tblPr>
        <w:tblStyle w:val="Table1"/>
        <w:tblW w:w="8345.0" w:type="dxa"/>
        <w:jc w:val="left"/>
        <w:tblInd w:w="45.35433070866142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5"/>
        <w:gridCol w:w="1115"/>
        <w:gridCol w:w="1115"/>
        <w:gridCol w:w="1115"/>
        <w:gridCol w:w="1115"/>
        <w:gridCol w:w="1115"/>
        <w:gridCol w:w="1115"/>
        <w:tblGridChange w:id="0">
          <w:tblGrid>
            <w:gridCol w:w="1655"/>
            <w:gridCol w:w="1115"/>
            <w:gridCol w:w="1115"/>
            <w:gridCol w:w="1115"/>
            <w:gridCol w:w="1115"/>
            <w:gridCol w:w="1115"/>
            <w:gridCol w:w="1115"/>
          </w:tblGrid>
        </w:tblGridChange>
      </w:tblGrid>
      <w:tr>
        <w:tc>
          <w:tcPr>
            <w:shd w:fill="e6e6e6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Style w:val="Heading6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200" w:lineRule="auto"/>
              <w:contextualSpacing w:val="0"/>
              <w:jc w:val="center"/>
              <w:rPr>
                <w:shd w:fill="e6e6e6" w:val="clear"/>
              </w:rPr>
            </w:pPr>
            <w:bookmarkStart w:colFirst="0" w:colLast="0" w:name="_5kpc47gfthdc" w:id="1"/>
            <w:bookmarkEnd w:id="1"/>
            <w:r w:rsidDel="00000000" w:rsidR="00000000" w:rsidRPr="00000000">
              <w:rPr>
                <w:shd w:fill="e6e6e6" w:val="clear"/>
                <w:rtl w:val="0"/>
              </w:rPr>
              <w:t xml:space="preserve">Počet dvojek</w:t>
            </w:r>
          </w:p>
        </w:tc>
        <w:tc>
          <w:tcPr>
            <w:shd w:fill="e6e6e6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0</w:t>
            </w:r>
          </w:p>
        </w:tc>
        <w:tc>
          <w:tcPr>
            <w:shd w:fill="e6e6e6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</w:t>
            </w:r>
          </w:p>
        </w:tc>
        <w:tc>
          <w:tcPr>
            <w:shd w:fill="e6e6e6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</w:t>
            </w:r>
          </w:p>
        </w:tc>
        <w:tc>
          <w:tcPr>
            <w:shd w:fill="e6e6e6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3</w:t>
            </w:r>
          </w:p>
        </w:tc>
        <w:tc>
          <w:tcPr>
            <w:shd w:fill="e6e6e6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4</w:t>
            </w:r>
          </w:p>
        </w:tc>
        <w:tc>
          <w:tcPr>
            <w:shd w:fill="e6e6e6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5 a více</w:t>
            </w:r>
          </w:p>
        </w:tc>
      </w:tr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Počet bodů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žáci bez vyznamenání nezískají žádný bod</w:t>
      </w:r>
    </w:p>
    <w:p w:rsidR="00000000" w:rsidDel="00000000" w:rsidP="00000000" w:rsidRDefault="00000000" w:rsidRPr="00000000" w14:paraId="0000001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40" w:lineRule="auto"/>
        <w:contextualSpacing w:val="0"/>
        <w:rPr/>
      </w:pPr>
      <w:bookmarkStart w:colFirst="0" w:colLast="0" w:name="_mel45bmhqaxk" w:id="2"/>
      <w:bookmarkEnd w:id="2"/>
      <w:r w:rsidDel="00000000" w:rsidR="00000000" w:rsidRPr="00000000">
        <w:rPr>
          <w:rtl w:val="0"/>
        </w:rPr>
        <w:t xml:space="preserve"> Další důležité informace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První kolo přijímacího řízení proběhne v budově školy 13. dubna 2018 (1. termín prvního kola) a 17. dubna 2018 (2. termín prvního kola). </w:t>
      </w:r>
      <w:r w:rsidDel="00000000" w:rsidR="00000000" w:rsidRPr="00000000">
        <w:rPr>
          <w:sz w:val="20"/>
          <w:szCs w:val="20"/>
          <w:rtl w:val="0"/>
        </w:rPr>
        <w:t xml:space="preserve">Volbu termínu provede uchazeč v přihlášce stanovením pořadí škol, na něž se přihlašuje.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Pro hodnocení každého uchazeče předá CERMAT škole lepší z výsledků obou termínů prvního kola, a to zvlášť za test z matematiky a českého jazyka.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Žáci se speciálními vzdělávacími potřebami, pokud jejich zákonný zástupce doloží písemné doporučení školského poradenského zařízení, mají možnost konat přijímací zkoušky v upraveném režimu. Toto doporučení doručí zákonný zástupce společně s přihláškou ke vzdělávání.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Ředitel školy ukončí hodnocení uchazečů do 2 pracovních dnů po zpřístupnění hodnocení uchazeče společností CERMAT. Podle výsledků dosažených jednotlivými uchazeči při přijímacím řízení stanoví ředitel školy jejich pořadí a zveřejní seznam přijatých uchazečů. V případě rovnosti celkového bodového zisku u více uchazečů rozhoduje o přijetí součet bodových zisků za testy z matematiky a českého jazyka. Pokud by i ten byl stejný, rozhoduje bodový zisk z testu z matematiky. Pokud by i ten byl stejný, rozhoduje počet bodů v jednotlivých subkritériích předmětů matematika a český jazyk, a to v tomto pořadí: MA_B, ČJL_C, MA_D a ČJL_D.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Výsledková listina bude zveřejněna na vývěsce školy a na jejich webových stránkách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www.randovka.cz</w:t>
        </w:r>
      </w:hyperlink>
      <w:r w:rsidDel="00000000" w:rsidR="00000000" w:rsidRPr="00000000">
        <w:rPr>
          <w:sz w:val="20"/>
          <w:szCs w:val="20"/>
          <w:rtl w:val="0"/>
        </w:rPr>
        <w:t xml:space="preserve">. Žáci v ní budou uvedeni pod registračními čísly. Nepřijatým uchazečům odešle škola rozhodnutí o nepřijetí.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V prvním kole přijímacího řízení bude přijato přímo prvních 29 uchazečů dle výsledkové listiny. Jedno místo bude poskytnuto pro případná odvolání.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margin">
              <wp:posOffset>2733675</wp:posOffset>
            </wp:positionH>
            <wp:positionV relativeFrom="paragraph">
              <wp:posOffset>85725</wp:posOffset>
            </wp:positionV>
            <wp:extent cx="3019425" cy="1095375"/>
            <wp:effectExtent b="0" l="0" r="0" t="0"/>
            <wp:wrapSquare wrapText="bothSides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095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Jablonci nad Nisou 31. ledna 2018                              RNDr. Tomáš Hofrichter, Ph.D.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ředitel školy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850.3937007874016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inline distB="19050" distT="19050" distL="19050" distR="19050">
          <wp:extent cx="6419850" cy="1158612"/>
          <wp:effectExtent b="0" l="0" r="0" t="0"/>
          <wp:docPr descr="Hlavicka_dokumentu.JPG" id="1" name="image2.jpg"/>
          <a:graphic>
            <a:graphicData uri="http://schemas.openxmlformats.org/drawingml/2006/picture">
              <pic:pic>
                <pic:nvPicPr>
                  <pic:cNvPr descr="Hlavicka_dokumentu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0" cy="11586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widowControl w:val="0"/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andovka.cz" TargetMode="Externa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