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ackground w:color="FFFFFF"/>
  <w:body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Gymnázium, Lanškroun, nám. Jana Marka Marků 113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20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nám. Jana Marka Marků 113, 563 12 Lanškroun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20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8"/>
          <w:szCs w:val="28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8"/>
          <w:szCs w:val="28"/>
          <w:vertAlign w:val="baseline"/>
          <w:rtl w:val="0"/>
        </w:rPr>
        <w:t xml:space="preserve">Kritéria přijímacího řízení pro školní rok 2017/2018 pro 79-41-K/81 Gymnázium (osmileté studium)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Přijímací řízení proběhne ve dnech 12. 4. 2017 – 30. 4. 2017 formou vyhodnocení kritérií a stanovením pořadí úspěšných uchazečů o studium.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Hodnocení uchazečů v rámci 1. kola přijímacího řízení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Uchazeči budou hodnoceni na základě: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709"/>
          <w:tab w:val="left" w:pos="4678"/>
        </w:tabs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výsledků dosažených v jednotných přijímacích zkouškách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709"/>
          <w:tab w:val="left" w:pos="4678"/>
        </w:tabs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hodnocení na vysvědčeních z předchozího vzdělávání</w:t>
      </w:r>
    </w:p>
    <w:p w:rsidR="00000000" w:rsidDel="00000000" w:rsidP="00000000" w:rsidRDefault="00000000" w:rsidRPr="00000000">
      <w:pPr>
        <w:keepNext w:val="0"/>
        <w:keepLines w:val="0"/>
        <w:widowControl w:val="0"/>
        <w:numPr>
          <w:ilvl w:val="0"/>
          <w:numId w:val="1"/>
        </w:numPr>
        <w:pBdr/>
        <w:tabs>
          <w:tab w:val="left" w:pos="709"/>
          <w:tab w:val="left" w:pos="4678"/>
        </w:tabs>
        <w:spacing w:after="0" w:before="0" w:line="240" w:lineRule="auto"/>
        <w:ind w:left="720" w:right="0" w:hanging="36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dle dalších skutečností, které osvědčují další schopnosti, vědomosti a zájmy uchazeče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709"/>
          <w:tab w:val="left" w:pos="4678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Počet bodů za prospěch na ZŠ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jedná se o průměrný prospěch uchazeče v prvním pololetí 5. ročníku ZŠ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bidiVisual w:val="0"/>
        <w:tblW w:w="9690.0" w:type="dxa"/>
        <w:jc w:val="left"/>
        <w:tblInd w:w="45.0" w:type="dxa"/>
        <w:tblBorders>
          <w:top w:color="000000" w:space="0" w:sz="6" w:val="single"/>
          <w:left w:color="000000" w:space="0" w:sz="6" w:val="single"/>
          <w:bottom w:color="000000" w:space="0" w:sz="6" w:val="single"/>
          <w:right w:color="000000" w:space="0" w:sz="6" w:val="single"/>
          <w:insideH w:color="000000" w:space="0" w:sz="0" w:val="nil"/>
          <w:insideV w:color="000000" w:space="0" w:sz="0" w:val="nil"/>
        </w:tblBorders>
        <w:tblLayout w:type="fixed"/>
        <w:tblLook w:val="0000"/>
      </w:tblPr>
      <w:tblGrid>
        <w:gridCol w:w="1565"/>
        <w:gridCol w:w="1625"/>
        <w:gridCol w:w="1625"/>
        <w:gridCol w:w="1625"/>
        <w:gridCol w:w="1625"/>
        <w:gridCol w:w="1625"/>
        <w:tblGridChange w:id="0">
          <w:tblGrid>
            <w:gridCol w:w="1565"/>
            <w:gridCol w:w="1625"/>
            <w:gridCol w:w="1625"/>
            <w:gridCol w:w="1625"/>
            <w:gridCol w:w="1625"/>
            <w:gridCol w:w="1625"/>
          </w:tblGrid>
        </w:tblGridChange>
      </w:tblGrid>
      <w:tr>
        <w:trPr>
          <w:trHeight w:val="102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  Aritmetický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      průměr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   do hranice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    (včetně)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Počet bodů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Aritmetický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průměr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do hranice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(včetně)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Počet bodů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Aritmetický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průměr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do hranice</w:t>
            </w:r>
          </w:p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(včetně)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Počet bodů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1,05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1,40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13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1,75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6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1,45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12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1,80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5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1,50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11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1,85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4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1,20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1,55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1,90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3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1,25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16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1,60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9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1,95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1,30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1,65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8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</w:t>
            </w:r>
          </w:p>
        </w:tc>
      </w:tr>
      <w:tr>
        <w:trPr>
          <w:trHeight w:val="260" w:hRule="atLeast"/>
        </w:trPr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1,35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14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1,70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7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Více než 2,00</w:t>
            </w:r>
          </w:p>
        </w:tc>
        <w:tc>
          <w:tcPr>
            <w:tcBorders>
              <w:top w:color="000000" w:space="0" w:sz="6" w:val="single"/>
              <w:left w:color="000000" w:space="0" w:sz="6" w:val="single"/>
              <w:bottom w:color="000000" w:space="0" w:sz="6" w:val="single"/>
              <w:right w:color="000000" w:space="0" w:sz="6" w:val="single"/>
            </w:tcBorders>
            <w:tcMar>
              <w:top w:w="15.0" w:type="dxa"/>
              <w:left w:w="15.0" w:type="dxa"/>
              <w:bottom w:w="15.0" w:type="dxa"/>
              <w:right w:w="15.0" w:type="dxa"/>
            </w:tcMar>
            <w:vAlign w:val="center"/>
          </w:tcPr>
          <w:p w:rsidR="00000000" w:rsidDel="00000000" w:rsidP="00000000" w:rsidRDefault="00000000" w:rsidRPr="00000000">
            <w:pPr>
              <w:keepNext w:val="0"/>
              <w:keepLines w:val="0"/>
              <w:widowControl w:val="0"/>
              <w:pBdr/>
              <w:spacing w:after="0" w:before="0" w:line="240" w:lineRule="auto"/>
              <w:ind w:left="0" w:right="0" w:firstLine="0"/>
              <w:contextualSpacing w:val="0"/>
              <w:jc w:val="both"/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Georgia" w:cs="Georgia" w:eastAsia="Georgia" w:hAnsi="Georgia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vertAlign w:val="baseline"/>
                <w:rtl w:val="0"/>
              </w:rPr>
              <w:t xml:space="preserve">0</w:t>
            </w:r>
          </w:p>
        </w:tc>
      </w:tr>
    </w:tbl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Počet bodů za jiné skutečnosti (soutěže a olympiády): 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max. 2 body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Podmínky pro přijetí: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Základní podmínkou pro přijetí</w:t>
      </w: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 v prvním kole přijímacího řízení je dosažení alespoň </w:t>
      </w: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30 bodů ze 100 možných z testů z českého jazyka (max. 50) a z matematiky (max. 50).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Pokud uchazeč koná jednotnou zkoušku dvakrát, do hodnocení přijímacího řízení se mu započte lepší výsledek z každého testu.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Hodnocení jednotných testů z českého jazyka a z matematiky se na celkovém hodnocení uchazeče v rámci přijímacího řízení podílí minimálně 60 %.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Pořadí pro přijetí bude dáno součtem bodů z testů, bodů za prospěch na ZŠ (max. 20 – viz tabulka) a bodů získaných za úspěchy v soutěžích a olympiádách (max. 2). Celkově může uchazeč získat max. 122 bodů.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Přijímáno bude maximálně 30 žáků, z toho jedno místo bude ponecháno na odvolání.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1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Doplňková kritéria: 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V případě rovnosti bodů celkem je pro pořadí uchazeče rozhodující počet bodů získaných v jednotných přijímacích zkouškách. Pokud by se rovnal i tento počet bodů, rozhoduje počet bodů získaných v testu z matematiky. Pokud by i tento počet bodů byl shodný, přednost bude mít uchazeč, který předložil doklady o úspěšném umístění v olympiádách a soutěžích.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Nepřijatí uchazeči, kteří splnili základní podmínku přijímacího řízení, mohou podat v příslušné lhůtě odvolání a mohou být přijati na základě odvolání v procesu tzv. autoremedury na uvolněná místa po přijatých uchazečích, kteří neodevzdají zápisové lístky. Pro potřebu dalšího odvolacího řízení se vyčleňuje jedno místo.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24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Informace o výsledcích přijímacího řízení můžete sledovat na internetové adrese </w:t>
      </w:r>
      <w:hyperlink r:id="rId5">
        <w:r w:rsidDel="00000000" w:rsidR="00000000" w:rsidRPr="00000000">
          <w:rPr>
            <w:rFonts w:ascii="Georgia" w:cs="Georgia" w:eastAsia="Georgia" w:hAnsi="Georgia"/>
            <w:b w:val="0"/>
            <w:i w:val="0"/>
            <w:smallCaps w:val="0"/>
            <w:strike w:val="0"/>
            <w:color w:val="0000ff"/>
            <w:sz w:val="24"/>
            <w:szCs w:val="24"/>
            <w:vertAlign w:val="baseline"/>
            <w:rtl w:val="0"/>
          </w:rPr>
          <w:t xml:space="preserve">www.gymla.cz</w:t>
        </w:r>
      </w:hyperlink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 xml:space="preserve"> nebo ve vestibulu Gymnázia Lanškroun. Výsledky budou zveřejněny nejpozději 30. dubna 2017.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ab/>
        <w:t xml:space="preserve">RNDr. Věra Šverclová</w:t>
      </w:r>
    </w:p>
    <w:p w:rsidR="00000000" w:rsidDel="00000000" w:rsidP="00000000" w:rsidRDefault="00000000" w:rsidRPr="00000000">
      <w:pPr>
        <w:keepNext w:val="0"/>
        <w:keepLines w:val="0"/>
        <w:widowControl w:val="0"/>
        <w:pBdr/>
        <w:tabs>
          <w:tab w:val="left" w:pos="5655"/>
        </w:tabs>
        <w:spacing w:after="0" w:before="0" w:line="240" w:lineRule="auto"/>
        <w:ind w:left="0" w:right="0" w:firstLine="0"/>
        <w:contextualSpacing w:val="0"/>
        <w:jc w:val="both"/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</w:rPr>
      </w:pPr>
      <w:r w:rsidDel="00000000" w:rsidR="00000000" w:rsidRPr="00000000">
        <w:rPr>
          <w:rFonts w:ascii="Georgia" w:cs="Georgia" w:eastAsia="Georgia" w:hAnsi="Georgia"/>
          <w:b w:val="0"/>
          <w:i w:val="0"/>
          <w:smallCaps w:val="0"/>
          <w:strike w:val="0"/>
          <w:color w:val="000000"/>
          <w:sz w:val="24"/>
          <w:szCs w:val="24"/>
          <w:vertAlign w:val="baseline"/>
          <w:rtl w:val="0"/>
        </w:rPr>
        <w:tab/>
        <w:t xml:space="preserve">      ředitelka školy</w:t>
      </w:r>
    </w:p>
    <w:sectPr>
      <w:pgSz w:h="16838" w:w="11906"/>
      <w:pgMar w:bottom="1417" w:top="1417" w:left="1417" w:right="1417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Calibri"/>
  <w:font w:name="Georgia"/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0"/>
      <w:numFmt w:val="bullet"/>
      <w:lvlText w:val="-"/>
      <w:lvlJc w:val="left"/>
      <w:pPr>
        <w:ind w:left="720" w:firstLine="360"/>
      </w:pPr>
      <w:rPr>
        <w:rFonts w:ascii="Arial" w:cs="Arial" w:eastAsia="Arial" w:hAnsi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cs="Arial" w:eastAsia="Arial" w:hAnsi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cs="Arial" w:eastAsia="Arial" w:hAnsi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cs="Arial" w:eastAsia="Arial" w:hAnsi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cs="Arial" w:eastAsia="Arial" w:hAnsi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cs="Arial" w:eastAsia="Arial" w:hAnsi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cs="Arial" w:eastAsia="Arial" w:hAnsi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cs="Arial" w:eastAsia="Arial" w:hAnsi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cs="Arial" w:eastAsia="Arial" w:hAnsi="Arial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isplayBackgroundShape w:val="1"/>
  <w:defaultTabStop w:val="720"/>
  <w:compat>
    <w:compatSetting w:val="14" w:name="compatibilityMode" w:uri="http://schemas.microsoft.com/office/word"/>
  </w:compa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vertAlign w:val="baseline"/>
      </w:rPr>
    </w:rPrDefault>
    <w:pPrDefault>
      <w:pPr>
        <w:keepNext w:val="0"/>
        <w:keepLines w:val="0"/>
        <w:widowControl w:val="0"/>
        <w:pBdr/>
        <w:spacing w:after="0" w:before="0" w:line="240" w:lineRule="auto"/>
        <w:ind w:left="0" w:right="0" w:firstLine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Bdr/>
      <w:spacing w:after="80" w:before="280" w:lineRule="auto"/>
      <w:contextualSpacing w:val="1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Bdr/>
      <w:spacing w:after="40" w:before="240" w:lineRule="auto"/>
      <w:contextualSpacing w:val="1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Bdr/>
      <w:spacing w:after="40" w:before="220" w:lineRule="auto"/>
      <w:contextualSpacing w:val="1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Bdr/>
      <w:spacing w:after="40" w:before="200" w:lineRule="auto"/>
      <w:contextualSpacing w:val="1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Bdr/>
      <w:spacing w:after="120" w:before="480" w:lineRule="auto"/>
      <w:contextualSpacing w:val="1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Bdr/>
      <w:spacing w:after="80" w:before="360" w:lineRule="auto"/>
      <w:contextualSpacing w:val="1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/>
    <w:tblStylePr w:type="band1Vert"/>
    <w:tblStylePr w:type="band2Horz"/>
    <w:tblStylePr w:type="band2Vert"/>
    <w:tblStylePr w:type="firstCol"/>
    <w:tblStylePr w:type="firstRow"/>
    <w:tblStylePr w:type="lastCol"/>
    <w:tblStylePr w:type="lastRow"/>
    <w:tblStylePr w:type="neCell"/>
    <w:tblStylePr w:type="nwCell"/>
    <w:tblStylePr w:type="seCell"/>
    <w:tblStylePr w:type="swCell"/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numbering" Target="numbering.xml"/><Relationship Id="rId4" Type="http://schemas.openxmlformats.org/officeDocument/2006/relationships/styles" Target="styles.xml"/><Relationship Id="rId5" Type="http://schemas.openxmlformats.org/officeDocument/2006/relationships/hyperlink" Target="http://www.gymla.cz" TargetMode="External"/></Relationships>
</file>