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pBdr/>
        <w:spacing w:after="0" w:before="0" w:lineRule="auto"/>
        <w:contextualSpacing w:val="0"/>
        <w:rPr/>
      </w:pPr>
      <w:bookmarkStart w:colFirst="0" w:colLast="0" w:name="_avhjiwmpr7c8" w:id="0"/>
      <w:bookmarkEnd w:id="0"/>
      <w:r w:rsidDel="00000000" w:rsidR="00000000" w:rsidRPr="00000000">
        <w:rPr>
          <w:rtl w:val="0"/>
        </w:rPr>
        <w:t xml:space="preserve">Kritéria přijímacího řízení 2017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 obor Gymnázium KKOV 79-41-K/41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20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Ředitel školy v souladu s §60 a následujícími zákona 561/2004 ve znění pozdějších předpisů stanovuje pro přijímací řízení 2017 do oboru Gymnázium KKOV 7941K/41 tato jednotná kritéria.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76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 1. září 2017 bude otevřena jedna třída čtyřletého oboru </w:t>
      </w:r>
      <w:r w:rsidDel="00000000" w:rsidR="00000000" w:rsidRPr="00000000">
        <w:rPr>
          <w:b w:val="1"/>
          <w:sz w:val="20"/>
          <w:szCs w:val="20"/>
          <w:rtl w:val="0"/>
        </w:rPr>
        <w:t xml:space="preserve">Gymnázium (KKOV 7941K/41)</w:t>
      </w:r>
      <w:r w:rsidDel="00000000" w:rsidR="00000000" w:rsidRPr="00000000">
        <w:rPr>
          <w:sz w:val="20"/>
          <w:szCs w:val="20"/>
          <w:rtl w:val="0"/>
        </w:rPr>
        <w:t xml:space="preserve">. Ke vzdělávání může být přijato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maximálně 30 žáků, kteří úspěšně absolvovali 9. třídu základní školy. Výuka bude probíhat podle Rámcového vzdělávacího programu pro gymnázia.</w:t>
      </w:r>
    </w:p>
    <w:p w:rsidR="00000000" w:rsidDel="00000000" w:rsidP="00000000" w:rsidRDefault="00000000" w:rsidRPr="00000000">
      <w:pPr>
        <w:pStyle w:val="Heading2"/>
        <w:keepNext w:val="0"/>
        <w:keepLines w:val="0"/>
        <w:widowControl w:val="0"/>
        <w:pBdr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Přijímací zkouška se skládá z těchto částí: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Jednotná písemná zkouška z matematiky (společnost CERMAT)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Jednotná písemná zkouška z českého jazyka a literatury (společnost CERMAT)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Posouzení hodnocení na vysvědčení z 1. a 2. pololetí 8. třídy a 1. pololetí 9. třídy základní školy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200" w:lineRule="auto"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Posouzení úspěšnosti v předmětových olympiádách a soutěžích</w:t>
      </w:r>
    </w:p>
    <w:p w:rsidR="00000000" w:rsidDel="00000000" w:rsidP="00000000" w:rsidRDefault="00000000" w:rsidRPr="00000000">
      <w:pPr>
        <w:pStyle w:val="Heading2"/>
        <w:keepNext w:val="0"/>
        <w:keepLines w:val="0"/>
        <w:widowControl w:val="0"/>
        <w:pBdr/>
        <w:spacing w:after="80" w:before="0" w:lineRule="auto"/>
        <w:contextualSpacing w:val="0"/>
        <w:rPr/>
      </w:pPr>
      <w:r w:rsidDel="00000000" w:rsidR="00000000" w:rsidRPr="00000000">
        <w:rPr>
          <w:rtl w:val="0"/>
        </w:rPr>
        <w:t xml:space="preserve">Postup při přidělování počtu bodů v přijímacím řízení: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Každý uchazeč může získat maximálně 139 bodů. Ty budou za jednotlivé části přijímací zkoušky přidělovány takto: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jednotnou písemnou zkoušku z matematiky</w:t>
      </w:r>
      <w:r w:rsidDel="00000000" w:rsidR="00000000" w:rsidRPr="00000000">
        <w:rPr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50 bodů za jednotnou písemnou zkoušku z českého jazyka a literatury,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ind w:left="720" w:hanging="360"/>
        <w:contextualSpacing w:val="1"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9 bodů za průměr známek na vysvědčení v 1. a 2. pololetí 8. třídy a 1. pololetí 9. třídy ZŠ,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720" w:right="180" w:firstLine="0"/>
        <w:contextualSpacing w:val="0"/>
        <w:jc w:val="lef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průměr známek se zjišťuje vždy ze všech známek na vysvědčení za příslušné pololetí s výjimkou chování, nepovinných předmětů a zájmových kroužků, průměry známek za jednotlivá pololetí potvrdí uchazeči základní škola na přihlášce ke vzdělávání, za každé pololetí se přidělí uchazeči body podle následující tabulky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720" w:right="180" w:firstLine="0"/>
        <w:contextualSpacing w:val="0"/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61.92913385826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66.9291338582677"/>
        <w:tblGridChange w:id="0">
          <w:tblGrid>
            <w:gridCol w:w="995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00"/>
            <w:gridCol w:w="566.9291338582677"/>
          </w:tblGrid>
        </w:tblGridChange>
      </w:tblGrid>
      <w:tr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pStyle w:val="Heading6"/>
              <w:keepNext w:val="0"/>
              <w:keepLines w:val="0"/>
              <w:widowControl w:val="0"/>
              <w:pBdr/>
              <w:spacing w:after="40" w:before="200" w:lineRule="auto"/>
              <w:ind w:right="100"/>
              <w:contextualSpacing w:val="0"/>
              <w:jc w:val="center"/>
              <w:rPr>
                <w:shd w:fill="e6e6e6" w:val="clear"/>
              </w:rPr>
            </w:pPr>
            <w:r w:rsidDel="00000000" w:rsidR="00000000" w:rsidRPr="00000000">
              <w:rPr>
                <w:shd w:fill="e6e6e6" w:val="clear"/>
                <w:rtl w:val="0"/>
              </w:rPr>
              <w:t xml:space="preserve">Průměr známek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1,0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1,1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1,2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1,3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1,4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1,5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1,6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1,7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1,8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1,9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2,0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2,1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2,2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2,3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2,4</w:t>
            </w:r>
          </w:p>
        </w:tc>
        <w:tc>
          <w:tcPr>
            <w:shd w:fill="e6e6e6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ost.</w:t>
            </w:r>
          </w:p>
        </w:tc>
      </w:tr>
      <w:tr>
        <w:trPr>
          <w:trHeight w:val="560" w:hRule="atLeast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Počet bodů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1,8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1,3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0,9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0,7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0,6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ind w:right="10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00" w:before="20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maximálně 30 bodů za úspěšnou účast v předmětových olympiádách a soutěžích</w:t>
      </w:r>
      <w:r w:rsidDel="00000000" w:rsidR="00000000" w:rsidRPr="00000000">
        <w:rPr>
          <w:sz w:val="20"/>
          <w:szCs w:val="20"/>
          <w:rtl w:val="0"/>
        </w:rPr>
        <w:t xml:space="preserve"> A1 až A8 dle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věstníku MŠMT č.8/2014</w:t>
        </w:r>
      </w:hyperlink>
      <w:r w:rsidDel="00000000" w:rsidR="00000000" w:rsidRPr="00000000">
        <w:rPr>
          <w:sz w:val="20"/>
          <w:szCs w:val="20"/>
          <w:rtl w:val="0"/>
        </w:rPr>
        <w:t xml:space="preserve"> (matematická olympiáda, fyzikální olympiáda, chemická olympiáda, biologická olympiáda, soutěže v cizích jazycích, olympiáda v českém jazyce, dějepisná olympiáda, zeměpisná olympiáda)</w:t>
      </w:r>
      <w:r w:rsidDel="00000000" w:rsidR="00000000" w:rsidRPr="00000000">
        <w:rPr>
          <w:sz w:val="20"/>
          <w:szCs w:val="20"/>
          <w:rtl w:val="0"/>
        </w:rPr>
        <w:t xml:space="preserve">, budou přiděleny body podle následující tabulky, podle těchto pravidel: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3"/>
        </w:numPr>
        <w:pBdr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v dané soutěži se započítává nejvyšší umístění za období 8. a 9. třídy ZŠ, a to zvlášť za každý školní rok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3"/>
        </w:numPr>
        <w:pBdr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úspěchy v různých soutěžích a různých letech se sčítají až do výše 30 bodů</w:t>
      </w:r>
    </w:p>
    <w:tbl>
      <w:tblPr>
        <w:tblStyle w:val="Table2"/>
        <w:bidiVisual w:val="0"/>
        <w:tblW w:w="6236.220472440945" w:type="dxa"/>
        <w:jc w:val="left"/>
        <w:tblInd w:w="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1.181102362205"/>
        <w:gridCol w:w="566.9291338582677"/>
        <w:gridCol w:w="2551.181102362205"/>
        <w:gridCol w:w="566.9291338582677"/>
        <w:tblGridChange w:id="0">
          <w:tblGrid>
            <w:gridCol w:w="2551.181102362205"/>
            <w:gridCol w:w="566.9291338582677"/>
            <w:gridCol w:w="2551.181102362205"/>
            <w:gridCol w:w="566.9291338582677"/>
          </w:tblGrid>
        </w:tblGridChange>
      </w:tblGrid>
      <w:tr>
        <w:trPr>
          <w:trHeight w:val="340" w:hRule="atLeast"/>
        </w:trPr>
        <w:tc>
          <w:tcPr>
            <w:shd w:fill="e6e6e6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umístění</w:t>
            </w:r>
          </w:p>
        </w:tc>
        <w:tc>
          <w:tcPr>
            <w:shd w:fill="e6e6e6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body</w:t>
            </w:r>
          </w:p>
        </w:tc>
        <w:tc>
          <w:tcPr>
            <w:shd w:fill="e6e6e6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umístění</w:t>
            </w:r>
          </w:p>
        </w:tc>
        <w:tc>
          <w:tcPr>
            <w:shd w:fill="e6e6e6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b w:val="1"/>
                <w:sz w:val="20"/>
                <w:szCs w:val="20"/>
                <w:shd w:fill="e6e6e6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e6e6e6" w:val="clear"/>
                <w:rtl w:val="0"/>
              </w:rPr>
              <w:t xml:space="preserve">body</w:t>
            </w:r>
          </w:p>
        </w:tc>
      </w:tr>
      <w:tr>
        <w:trPr>
          <w:trHeight w:val="300" w:hRule="atLeast"/>
        </w:trP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místo v okresním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tabs>
                <w:tab w:val="left" w:pos="1133.8582677165355"/>
              </w:tabs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místo v krajském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místo v okresním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tabs>
                <w:tab w:val="left" w:pos="1133.8582677165355"/>
              </w:tabs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místo v krajském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místo v okresním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tabs>
                <w:tab w:val="left" w:pos="1133.8582677165355"/>
              </w:tabs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místo v krajském kole</w:t>
            </w:r>
          </w:p>
        </w:tc>
        <w:tc>
          <w:tcPr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>
      <w:pPr>
        <w:pStyle w:val="Heading2"/>
        <w:pBdr/>
        <w:spacing w:before="200" w:line="240" w:lineRule="auto"/>
        <w:contextualSpacing w:val="0"/>
        <w:rPr/>
      </w:pPr>
      <w:bookmarkStart w:colFirst="0" w:colLast="0" w:name="_9xhot7r2l8q2" w:id="1"/>
      <w:bookmarkEnd w:id="1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Další důležité informace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První kolo přijímacího řízení proběhne v budově školy 12. dubna 2017 (1. termín prvního kola) a 19. dubna 2017 (2. termín prvního kola). Volbu termínu provede uchazeč v přihlášce stanovením pořadí škol, na něž se přihlašuje.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Pro hodnocení každého uchazeče předá CERMAT škole lepší z výsledků obou termínů prvního kola, a to zvlášť za test z matematiky a českého jazyka.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Žáci se speciálními vzdělávacími potřebami, pokud jejich zákonný zástupce doloží písemné doporučení školského poradenského zařízení, mají možnost konat přijímací zkoušky v upraveném režimu. Toto doporučení doručí zákonný zástupce společně s přihláškou ke vzdělávání. 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Ředitel školy ukončí hodnocení uchazečů do 2 pracovních dnů po zpřístupnění hodnocení uchazeče společností CERMAT. Podle výsledků dosažených jednotlivými uchazeči při přijímacím řízení stanoví ředitel školy jejich pořadí a zveřejní seznam přijatých uchazečů. V případě rovnosti celkového bodového zisku u více uchazečů rozhoduje o pořadí součet bodových zisků za testy z matematiky a českého jazyka. Pokud by i ten byl stejný, rozhoduje bodový zisk z testu z matematiky. Pokud by i ten byl stejný, rozhoduje bodový zisk za vysvědčení.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Výsledková listina bude zveřejněna na vývěsce školy a na jejich webových stránkách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www.sportgym.cz</w:t>
        </w:r>
      </w:hyperlink>
      <w:r w:rsidDel="00000000" w:rsidR="00000000" w:rsidRPr="00000000">
        <w:rPr>
          <w:sz w:val="20"/>
          <w:szCs w:val="20"/>
          <w:rtl w:val="0"/>
        </w:rPr>
        <w:t xml:space="preserve">. Žáci v ní budou uvedeni pod registračními čísly. Nepřijatým uchazečům odešle škola rozhodnutí o nepřijetí.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</w:pPr>
      <w:r w:rsidDel="00000000" w:rsidR="00000000" w:rsidRPr="00000000">
        <w:rPr>
          <w:sz w:val="20"/>
          <w:szCs w:val="20"/>
          <w:rtl w:val="0"/>
        </w:rPr>
        <w:t xml:space="preserve">V prvním kole přijímacího řízení bude přijato přímo prvních 29 uchazečů dle výsledkové listiny. Jedno místo bude poskytnuto pro případná odvolání.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ind w:left="5040" w:firstLine="720"/>
        <w:contextualSpacing w:val="0"/>
        <w:rPr>
          <w:sz w:val="20"/>
          <w:szCs w:val="20"/>
        </w:rPr>
      </w:pPr>
      <w:r w:rsidDel="00000000" w:rsidR="00000000" w:rsidRPr="00000000">
        <w:drawing>
          <wp:inline distB="114300" distT="114300" distL="114300" distR="114300">
            <wp:extent cx="2466975" cy="8953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Jablonci nad Nisou 23. ledna 2017          </w:t>
        <w:tab/>
        <w:tab/>
        <w:tab/>
        <w:t xml:space="preserve">   RNDr. Tomáš Hofrichter, Ph.D.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</w:t>
        <w:tab/>
        <w:tab/>
        <w:tab/>
        <w:t xml:space="preserve">  ředitel školy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396.85039370078744" w:top="566.9291338582677" w:left="566.9291338582677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40" w:lineRule="auto"/>
      <w:ind w:left="0" w:right="0" w:firstLine="0"/>
      <w:contextualSpacing w:val="0"/>
      <w:rPr>
        <w:sz w:val="18"/>
        <w:szCs w:val="18"/>
      </w:rPr>
    </w:pPr>
    <w:r w:rsidDel="00000000" w:rsidR="00000000" w:rsidRPr="00000000">
      <w:drawing>
        <wp:inline distB="19050" distT="19050" distL="19050" distR="19050">
          <wp:extent cx="6419850" cy="1158612"/>
          <wp:effectExtent b="0" l="0" r="0" t="0"/>
          <wp:docPr descr="Hlavicka_dokumentu.JPG" id="1" name="image2.jpg"/>
          <a:graphic>
            <a:graphicData uri="http://schemas.openxmlformats.org/drawingml/2006/picture">
              <pic:pic>
                <pic:nvPicPr>
                  <pic:cNvPr descr="Hlavicka_dokumentu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0" cy="11586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lvl w:ilvl="0">
      <w:start w:val="4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msmt.cz/file/34209/" TargetMode="External"/><Relationship Id="rId6" Type="http://schemas.openxmlformats.org/officeDocument/2006/relationships/hyperlink" Target="http://www.sportgym.cz" TargetMode="Externa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