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pBdr/>
        <w:spacing w:after="0" w:before="0" w:line="240" w:lineRule="auto"/>
        <w:contextualSpacing w:val="0"/>
        <w:jc w:val="right"/>
        <w:rPr/>
      </w:pPr>
      <w:bookmarkStart w:colFirst="0" w:colLast="0" w:name="_6ihd4v6g3uki" w:id="0"/>
      <w:bookmarkEnd w:id="0"/>
      <w:r w:rsidDel="00000000" w:rsidR="00000000" w:rsidRPr="00000000">
        <w:rPr>
          <w:rtl w:val="0"/>
        </w:rPr>
        <w:t xml:space="preserve">Kritéria přijímacího řízení </w:t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pBdr/>
        <w:spacing w:after="0" w:before="0" w:line="240" w:lineRule="auto"/>
        <w:contextualSpacing w:val="0"/>
        <w:jc w:val="right"/>
        <w:rPr>
          <w:b w:val="1"/>
          <w:sz w:val="26"/>
          <w:szCs w:val="26"/>
        </w:rPr>
      </w:pPr>
      <w:bookmarkStart w:colFirst="0" w:colLast="0" w:name="_h04z2q9w9uhr" w:id="1"/>
      <w:bookmarkEnd w:id="1"/>
      <w:r w:rsidDel="00000000" w:rsidR="00000000" w:rsidRPr="00000000">
        <w:rPr>
          <w:sz w:val="28"/>
          <w:szCs w:val="28"/>
          <w:rtl w:val="0"/>
        </w:rPr>
        <w:t xml:space="preserve">pro první kolo 2017 - Obor Gymnázium se sportovní přípravou KKOV 79-42-K/41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Ředitel školy stanovuje v souladu s §62 zákona 561/2004 ve znění pozdějších předpisů tato jednotná kritéria pro první kolo přijímacího řízení do oboru Gymnázium se sportovní přípravou pro rok 2017.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souladu s §60 odst (5) zákona 561/2004 ve znění pozdějších předpisů se v přijímacím řízení v oborech vzdělání s maturitní zkouškou koná jednotná přijímací zkouška z českého jazyka a literatury a z matematiky. Dále bude uchazeč v souladu s §62 konat talentovou zkoušku.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0" w:line="240" w:lineRule="auto"/>
        <w:ind w:left="0" w:right="0" w:firstLine="0"/>
        <w:contextualSpacing w:val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Přihlášky pro 1. kolo je třeba do školy doručit nejpozději 30. listopadu 2016. Přihlášku je třeba nechat na přední straně potvrdit lékařem s atestací ze sportovního lékařství (</w:t>
      </w:r>
      <w:hyperlink r:id="rId5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http://www.cstl.cz/mapa-pracovist/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0" w:line="240" w:lineRule="auto"/>
        <w:ind w:left="0" w:right="0" w:firstLine="0"/>
        <w:contextualSpacing w:val="0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 1. září 2017 bude otevřena jedna třída čtyřletého oboru Gymnázium se sportovní přípravou (KKOV 79-42-K/41). Ke vzdělávání může být přijato maximálně 30 žáků, kteří získali základní vzdělání.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spacing w:after="0" w:before="0" w:lineRule="auto"/>
        <w:contextualSpacing w:val="0"/>
        <w:rPr/>
      </w:pPr>
      <w:bookmarkStart w:colFirst="0" w:colLast="0" w:name="_e7o56rz3rcui" w:id="2"/>
      <w:bookmarkEnd w:id="2"/>
      <w:r w:rsidDel="00000000" w:rsidR="00000000" w:rsidRPr="00000000">
        <w:rPr>
          <w:rtl w:val="0"/>
        </w:rPr>
        <w:t xml:space="preserve">Části a bodové hodnocení přijímacího řízení: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sz w:val="20"/>
          <w:szCs w:val="20"/>
          <w:rtl w:val="0"/>
        </w:rPr>
        <w:t xml:space="preserve">Talentová zkouška </w:t>
      </w:r>
      <w:r w:rsidDel="00000000" w:rsidR="00000000" w:rsidRPr="00000000">
        <w:rPr>
          <w:b w:val="1"/>
          <w:sz w:val="20"/>
          <w:szCs w:val="20"/>
          <w:rtl w:val="0"/>
        </w:rPr>
        <w:t xml:space="preserve">(maximálně 55 bodů)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sz w:val="20"/>
          <w:szCs w:val="20"/>
          <w:rtl w:val="0"/>
        </w:rPr>
        <w:t xml:space="preserve">Posouzení hodnocení na vysvědčení z 1. a 2. pololetí 8. třídy základní školy </w:t>
      </w:r>
      <w:r w:rsidDel="00000000" w:rsidR="00000000" w:rsidRPr="00000000">
        <w:rPr>
          <w:b w:val="1"/>
          <w:sz w:val="20"/>
          <w:szCs w:val="20"/>
          <w:rtl w:val="0"/>
        </w:rPr>
        <w:t xml:space="preserve">(maximálně 5 bodů)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0" w:before="0" w:line="240" w:lineRule="auto"/>
        <w:ind w:left="720" w:right="0" w:hanging="360"/>
        <w:contextualSpacing w:val="1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Jednotná přijímací zkouška - písemný test z matematiky </w:t>
      </w:r>
      <w:r w:rsidDel="00000000" w:rsidR="00000000" w:rsidRPr="00000000">
        <w:rPr>
          <w:b w:val="1"/>
          <w:sz w:val="20"/>
          <w:szCs w:val="20"/>
          <w:rtl w:val="0"/>
        </w:rPr>
        <w:t xml:space="preserve">(maximálně 20 bodů)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spacing w:after="200" w:before="0" w:line="240" w:lineRule="auto"/>
        <w:ind w:left="720" w:right="0" w:hanging="36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Jednotná přijímací zkouška - písemný test z českého jazyka </w:t>
      </w:r>
      <w:r w:rsidDel="00000000" w:rsidR="00000000" w:rsidRPr="00000000">
        <w:rPr>
          <w:b w:val="1"/>
          <w:sz w:val="20"/>
          <w:szCs w:val="20"/>
          <w:rtl w:val="0"/>
        </w:rPr>
        <w:t xml:space="preserve">(maximálně 20 bodů)</w:t>
      </w:r>
    </w:p>
    <w:p w:rsidR="00000000" w:rsidDel="00000000" w:rsidP="00000000" w:rsidRDefault="00000000" w:rsidRPr="00000000">
      <w:pPr>
        <w:pStyle w:val="Heading2"/>
        <w:pBdr/>
        <w:spacing w:after="0" w:before="0" w:line="240" w:lineRule="auto"/>
        <w:contextualSpacing w:val="0"/>
        <w:rPr/>
      </w:pPr>
      <w:bookmarkStart w:colFirst="0" w:colLast="0" w:name="_cia9u6bmcot3" w:id="3"/>
      <w:bookmarkEnd w:id="3"/>
      <w:r w:rsidDel="00000000" w:rsidR="00000000" w:rsidRPr="00000000">
        <w:rPr>
          <w:rtl w:val="0"/>
        </w:rPr>
        <w:t xml:space="preserve">Termíny přijímacího řízení</w:t>
      </w:r>
    </w:p>
    <w:p w:rsidR="00000000" w:rsidDel="00000000" w:rsidP="00000000" w:rsidRDefault="00000000" w:rsidRPr="00000000">
      <w:pPr>
        <w:pStyle w:val="Heading3"/>
        <w:pBdr/>
        <w:spacing w:before="0" w:lineRule="auto"/>
        <w:contextualSpacing w:val="0"/>
        <w:rPr>
          <w:b w:val="0"/>
        </w:rPr>
      </w:pPr>
      <w:bookmarkStart w:colFirst="0" w:colLast="0" w:name="_7fd3swrg8av9" w:id="4"/>
      <w:bookmarkEnd w:id="4"/>
      <w:r w:rsidDel="00000000" w:rsidR="00000000" w:rsidRPr="00000000">
        <w:rPr>
          <w:rtl w:val="0"/>
        </w:rPr>
        <w:t xml:space="preserve">Termíny konání talentové zkoušky</w:t>
      </w:r>
      <w:r w:rsidDel="00000000" w:rsidR="00000000" w:rsidRPr="00000000">
        <w:rPr>
          <w:b w:val="0"/>
          <w:rtl w:val="0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termín: 12. 1. 2017 (čtvrtek)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termín: 13. 1. 2017 (pátek)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0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organizačních důvodů upřednostňujeme 1. termín.</w:t>
      </w:r>
    </w:p>
    <w:p w:rsidR="00000000" w:rsidDel="00000000" w:rsidP="00000000" w:rsidRDefault="00000000" w:rsidRPr="00000000">
      <w:pPr>
        <w:pStyle w:val="Heading3"/>
        <w:keepNext w:val="0"/>
        <w:keepLines w:val="0"/>
        <w:widowControl w:val="0"/>
        <w:pBdr/>
        <w:spacing w:before="0" w:line="240" w:lineRule="auto"/>
        <w:contextualSpacing w:val="0"/>
        <w:rPr/>
      </w:pPr>
      <w:bookmarkStart w:colFirst="0" w:colLast="0" w:name="_upl4dq1jld28" w:id="5"/>
      <w:bookmarkEnd w:id="5"/>
      <w:r w:rsidDel="00000000" w:rsidR="00000000" w:rsidRPr="00000000">
        <w:rPr>
          <w:rtl w:val="0"/>
        </w:rPr>
        <w:t xml:space="preserve">Termíny konání jednotně zadávaných testů z jazyka českého a matematiky: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termín: 12. 4. 2017 (středa)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0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termín: 19. 4. 2017 (středa)</w:t>
      </w:r>
    </w:p>
    <w:p w:rsidR="00000000" w:rsidDel="00000000" w:rsidP="00000000" w:rsidRDefault="00000000" w:rsidRPr="00000000">
      <w:pPr>
        <w:pStyle w:val="Heading2"/>
        <w:pBdr/>
        <w:spacing w:before="0" w:line="240" w:lineRule="auto"/>
        <w:contextualSpacing w:val="0"/>
        <w:rPr/>
      </w:pPr>
      <w:bookmarkStart w:colFirst="0" w:colLast="0" w:name="_v2bvnqgwfn6h" w:id="6"/>
      <w:bookmarkEnd w:id="6"/>
      <w:r w:rsidDel="00000000" w:rsidR="00000000" w:rsidRPr="00000000">
        <w:rPr>
          <w:rtl w:val="0"/>
        </w:rPr>
        <w:t xml:space="preserve">Obsah a hodnocení jednotlivých částí zkoušky</w:t>
      </w:r>
    </w:p>
    <w:p w:rsidR="00000000" w:rsidDel="00000000" w:rsidP="00000000" w:rsidRDefault="00000000" w:rsidRPr="00000000">
      <w:pPr>
        <w:pStyle w:val="Heading3"/>
        <w:keepNext w:val="0"/>
        <w:keepLines w:val="0"/>
        <w:widowControl w:val="0"/>
        <w:pBdr/>
        <w:spacing w:before="0" w:line="240" w:lineRule="auto"/>
        <w:contextualSpacing w:val="0"/>
        <w:rPr/>
      </w:pPr>
      <w:bookmarkStart w:colFirst="0" w:colLast="0" w:name="_kyhagzucpexa" w:id="7"/>
      <w:bookmarkEnd w:id="7"/>
      <w:r w:rsidDel="00000000" w:rsidR="00000000" w:rsidRPr="00000000">
        <w:rPr>
          <w:rtl w:val="0"/>
        </w:rPr>
        <w:t xml:space="preserve">Talentová </w:t>
      </w:r>
      <w:r w:rsidDel="00000000" w:rsidR="00000000" w:rsidRPr="00000000">
        <w:rPr>
          <w:rtl w:val="0"/>
        </w:rPr>
        <w:t xml:space="preserve">zkouška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Součásti talentové zkoušky: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sz w:val="20"/>
          <w:szCs w:val="20"/>
          <w:rtl w:val="0"/>
        </w:rPr>
        <w:t xml:space="preserve">test všeobecných pohybových předpokladů – gymnastika, míčové hry, atletika, maximálně 15 bodů,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sz w:val="20"/>
          <w:szCs w:val="20"/>
          <w:rtl w:val="0"/>
        </w:rPr>
        <w:t xml:space="preserve">test speciálních dovedností podle vybraného odvětví sportu, maximálně 35 bodů,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200" w:before="0" w:line="240" w:lineRule="auto"/>
        <w:ind w:left="720" w:right="0" w:hanging="360"/>
        <w:jc w:val="left"/>
      </w:pPr>
      <w:r w:rsidDel="00000000" w:rsidR="00000000" w:rsidRPr="00000000">
        <w:rPr>
          <w:sz w:val="20"/>
          <w:szCs w:val="20"/>
          <w:rtl w:val="0"/>
        </w:rPr>
        <w:t xml:space="preserve">posouzení dosavadní sportovní výkonnosti a somatických předpokladů pro zvolený sport, maximálně 5 bodů.</w:t>
      </w:r>
    </w:p>
    <w:p w:rsidR="00000000" w:rsidDel="00000000" w:rsidP="00000000" w:rsidRDefault="00000000" w:rsidRPr="00000000">
      <w:pPr>
        <w:pStyle w:val="Heading4"/>
        <w:pBdr/>
        <w:spacing w:before="0" w:lineRule="auto"/>
        <w:contextualSpacing w:val="0"/>
        <w:rPr>
          <w:b w:val="0"/>
          <w:sz w:val="22"/>
          <w:szCs w:val="22"/>
        </w:rPr>
      </w:pPr>
      <w:bookmarkStart w:colFirst="0" w:colLast="0" w:name="_iatqloskqzdu" w:id="8"/>
      <w:bookmarkEnd w:id="8"/>
      <w:r w:rsidDel="00000000" w:rsidR="00000000" w:rsidRPr="00000000">
        <w:rPr>
          <w:sz w:val="22"/>
          <w:szCs w:val="22"/>
          <w:rtl w:val="0"/>
        </w:rPr>
        <w:t xml:space="preserve">Obsah testu všeobecných pohybových předpokladů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line="240" w:lineRule="auto"/>
        <w:ind w:left="990" w:hanging="99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Přeskok</w:t>
        <w:tab/>
        <w:t xml:space="preserve">Chlapci: roznožka přes bednu nadél, kotoul vzklopmo nebo přemet přes bednu našíř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Dívky: roznožka přes bednu našíř, kotoul vzklopmo přes bednu našíř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Hrazda</w:t>
        <w:tab/>
        <w:t xml:space="preserve">Chlapci: výmyk, toč vzad, podmet (hrazda dosažná)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Dívky: výmyk, toč vzad, podmet (hrazda dosažná)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Akrobacie</w:t>
        <w:tab/>
        <w:t xml:space="preserve">Chlapci: stoj na rukou, kotoul vpřed do roznožení, kotoul vzad do stoje spatného, kotoul vzad do stoje na rukou, přemet stranou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Dívky: stoj na rukou, kotoul vpřed, kotoul vpřed do roznožení, kotoul vzad do stoje spatného, kotoul vzad do zášvihu, přemet stranou.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Odbíjená </w:t>
        <w:tab/>
        <w:t xml:space="preserve">odbíjení obouruč vrchem i spodem ve dvojici (s hodnotícím trenérem)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Basketbal </w:t>
        <w:tab/>
        <w:t xml:space="preserve">zakončení v pohybu, zakončení v pohybu po přihrávce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Atletika</w:t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0m  letmo, dálka z místa, 12 minut běh</w:t>
      </w:r>
    </w:p>
    <w:p w:rsidR="00000000" w:rsidDel="00000000" w:rsidP="00000000" w:rsidRDefault="00000000" w:rsidRPr="00000000">
      <w:pPr>
        <w:pStyle w:val="Heading4"/>
        <w:keepNext w:val="0"/>
        <w:keepLines w:val="0"/>
        <w:widowControl w:val="0"/>
        <w:pBdr/>
        <w:spacing w:after="40" w:before="240" w:line="240" w:lineRule="auto"/>
        <w:ind w:left="0" w:right="0" w:firstLine="0"/>
        <w:contextualSpacing w:val="0"/>
        <w:jc w:val="left"/>
        <w:rPr/>
      </w:pPr>
      <w:bookmarkStart w:colFirst="0" w:colLast="0" w:name="_dftp6k1vrjdn" w:id="9"/>
      <w:bookmarkEnd w:id="9"/>
      <w:r w:rsidDel="00000000" w:rsidR="00000000" w:rsidRPr="00000000">
        <w:rPr>
          <w:rtl w:val="0"/>
        </w:rPr>
        <w:t xml:space="preserve">Obsah testu speciálních dovedností podle vybraného odvětví sportu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Atletika</w:t>
        <w:tab/>
        <w:t xml:space="preserve">20 m letmo, 30 m vysoký start, 50 m vysoký start, hod medicimbalem obouruč (autem), dálka z místa, desetiskok, koule vzad, běh 12 minut, šplh na tyči (4m s přírazem),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Lyžování</w:t>
        <w:tab/>
        <w:t xml:space="preserve">shyby (chlapci), šplh 4 m opakovaně třikrát za sebou (dívky), běh na 300m, desetiskok, běh 12 minut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Biatlon</w:t>
        <w:tab/>
        <w:t xml:space="preserve">střelba v poloze leže 20 ran na terč S, šplh 4 m opakovaně třikrát za sebou, běh na 300m, desetiskok, běh 12 minut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Tenis</w:t>
        <w:tab/>
        <w:t xml:space="preserve">technika tenisu a předpoklady tenisového růstu, hod plným míčem, hloubka předklonu, leh-sed, vějíř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Cyklistika</w:t>
        <w:tab/>
      </w:r>
      <w:r w:rsidDel="00000000" w:rsidR="00000000" w:rsidRPr="00000000">
        <w:rPr>
          <w:sz w:val="20"/>
          <w:szCs w:val="20"/>
          <w:rtl w:val="0"/>
        </w:rPr>
        <w:t xml:space="preserve">hod plným míčem, shyby (chlapci), výdrž ve shybu (dívky), šplh na tyči, desetiskok, běh na 300m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Volejbal</w:t>
        <w:tab/>
        <w:t xml:space="preserve">výška, BMI - poměr váha/výška, herní činnosti jednotlivce, hod plným míčem - medicimbal 1kg vkleče na žíněnce jednoruč, skok daleký z místa snožmo, člunkový běh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990"/>
        </w:tabs>
        <w:spacing w:after="20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Basketbal</w:t>
        <w:tab/>
        <w:t xml:space="preserve">balanční a koordinační cvičení (rozcvičení, rytmické poskoky, cvičení s balančními pomůckami), technická připravenost (technika střelby, přihrávání a chytání míče, povolené zastavení s míčem, driblink, napodobení předvedené dovednosti), řešení jednoduchých herních situací (přesilovková situace 2x1, přihrávka přes obránce s naznačením, pivotování), fyzická připravenost (300m, slalom s driblinkem, náběh do rychlého protiútoku a následné zakončení)</w:t>
      </w:r>
    </w:p>
    <w:p w:rsidR="00000000" w:rsidDel="00000000" w:rsidP="00000000" w:rsidRDefault="00000000" w:rsidRPr="00000000">
      <w:pPr>
        <w:pStyle w:val="Heading3"/>
        <w:keepNext w:val="0"/>
        <w:keepLines w:val="0"/>
        <w:widowControl w:val="0"/>
        <w:pBdr/>
        <w:spacing w:after="80" w:before="0" w:line="240" w:lineRule="auto"/>
        <w:ind w:right="0"/>
        <w:contextualSpacing w:val="0"/>
        <w:jc w:val="left"/>
        <w:rPr/>
      </w:pPr>
      <w:bookmarkStart w:colFirst="0" w:colLast="0" w:name="_3svp94l4f575" w:id="10"/>
      <w:bookmarkEnd w:id="10"/>
      <w:r w:rsidDel="00000000" w:rsidR="00000000" w:rsidRPr="00000000">
        <w:rPr>
          <w:rtl w:val="0"/>
        </w:rPr>
        <w:t xml:space="preserve">Posouzení hodnocení na vysvědčení z 1. a 2. pololetí 8. třídy ZŠ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Každému uchazeči bude přidělen bodový zisk za součet průměrů zaokrouhlených na 2 desetinná místa ze všech známek na vysvědčení v 1. a 2. pololetí 8. třídy základní školy podle následující tabulky: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16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6.937897407176"/>
        <w:gridCol w:w="615.4442723948209"/>
        <w:gridCol w:w="615.4442723948209"/>
        <w:gridCol w:w="615.4442723948209"/>
        <w:gridCol w:w="740.6193786446149"/>
        <w:gridCol w:w="615.4442723948209"/>
        <w:gridCol w:w="615.4442723948209"/>
        <w:gridCol w:w="615.4442723948209"/>
        <w:gridCol w:w="615.4442723948209"/>
        <w:gridCol w:w="615.4442723948209"/>
        <w:gridCol w:w="615.4442723948209"/>
        <w:gridCol w:w="615.4442723948209"/>
        <w:tblGridChange w:id="0">
          <w:tblGrid>
            <w:gridCol w:w="4776.937897407176"/>
            <w:gridCol w:w="615.4442723948209"/>
            <w:gridCol w:w="615.4442723948209"/>
            <w:gridCol w:w="615.4442723948209"/>
            <w:gridCol w:w="740.6193786446149"/>
            <w:gridCol w:w="615.4442723948209"/>
            <w:gridCol w:w="615.4442723948209"/>
            <w:gridCol w:w="615.4442723948209"/>
            <w:gridCol w:w="615.4442723948209"/>
            <w:gridCol w:w="615.4442723948209"/>
            <w:gridCol w:w="615.4442723948209"/>
            <w:gridCol w:w="615.4442723948209"/>
          </w:tblGrid>
        </w:tblGridChange>
      </w:tblGrid>
      <w:tr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Rozpětí součtu průměrů známek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2,00 - 2,20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2,21 - 2,40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2,41 - 2,60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2,61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-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2,80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2,81 - 3,00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3,01 - 3,30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3,31 - 3,70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3,71 - 4,15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4,16 - 4,75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4,76 - 5,50</w:t>
            </w:r>
          </w:p>
        </w:tc>
        <w:tc>
          <w:tcPr>
            <w:shd w:fill="d9d9d9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5,51 a více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Bodový zisk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>
      <w:pPr>
        <w:pStyle w:val="Heading3"/>
        <w:keepNext w:val="0"/>
        <w:keepLines w:val="0"/>
        <w:widowControl w:val="0"/>
        <w:pBdr/>
        <w:spacing w:before="280" w:line="240" w:lineRule="auto"/>
        <w:contextualSpacing w:val="0"/>
        <w:rPr/>
      </w:pPr>
      <w:bookmarkStart w:colFirst="0" w:colLast="0" w:name="_rpxgepueutv3" w:id="11"/>
      <w:bookmarkEnd w:id="11"/>
      <w:r w:rsidDel="00000000" w:rsidR="00000000" w:rsidRPr="00000000">
        <w:rPr>
          <w:rtl w:val="0"/>
        </w:rPr>
        <w:t xml:space="preserve">Obsah jednotné přijímací zkoušky z českého jazyka a matematiky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Testy budou vycházet z Rámcového vzdělávacího programu pro základní školy, budou centrálně zadané a zpracované společností CERMAT.</w:t>
      </w:r>
    </w:p>
    <w:p w:rsidR="00000000" w:rsidDel="00000000" w:rsidP="00000000" w:rsidRDefault="00000000" w:rsidRPr="00000000">
      <w:pPr>
        <w:pStyle w:val="Heading2"/>
        <w:keepNext w:val="0"/>
        <w:keepLines w:val="0"/>
        <w:widowControl w:val="0"/>
        <w:pBdr/>
        <w:spacing w:before="200" w:line="240" w:lineRule="auto"/>
        <w:contextualSpacing w:val="0"/>
        <w:rPr/>
      </w:pPr>
      <w:bookmarkStart w:colFirst="0" w:colLast="0" w:name="_mel45bmhqaxk" w:id="12"/>
      <w:bookmarkEnd w:id="12"/>
      <w:r w:rsidDel="00000000" w:rsidR="00000000" w:rsidRPr="00000000">
        <w:rPr>
          <w:rtl w:val="0"/>
        </w:rPr>
        <w:t xml:space="preserve">Podmínka nutná pro úspěšné splnění talentové zkoušky: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20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Z</w:t>
      </w:r>
      <w:r w:rsidDel="00000000" w:rsidR="00000000" w:rsidRPr="00000000">
        <w:rPr>
          <w:sz w:val="20"/>
          <w:szCs w:val="20"/>
          <w:rtl w:val="0"/>
        </w:rPr>
        <w:t xml:space="preserve">ískání alespoň 30 bodů z celkového počtu 55 v talentové části zkoušky (při dosažení nižšího bodového zisku již žák nepokračuje v přijímacím řízení)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widowControl w:val="0"/>
        <w:pBdr/>
        <w:spacing w:after="8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bookmarkStart w:colFirst="0" w:colLast="0" w:name="_814gryuj0qin" w:id="13"/>
      <w:bookmarkEnd w:id="13"/>
      <w:r w:rsidDel="00000000" w:rsidR="00000000" w:rsidRPr="00000000">
        <w:rPr>
          <w:rtl w:val="0"/>
        </w:rPr>
        <w:t xml:space="preserve">Další důležité informace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Žáci se speciálními vzdělávacími potřebami, pokud jejich zákonný zástupce doloží písemné doporučení školského poradenského zařízení, mají možnost konat písemné testy v upraveném režimu. Toto doporučení doručí zákonný zástupce společně s přihláškou ke vzdělávání. </w:t>
      </w:r>
      <w:r w:rsidDel="00000000" w:rsidR="00000000" w:rsidRPr="00000000">
        <w:rPr>
          <w:sz w:val="20"/>
          <w:szCs w:val="20"/>
          <w:rtl w:val="0"/>
        </w:rPr>
        <w:t xml:space="preserve">O zařazení uchazeče do příslušné kategorie rozhoduje ředitel školy.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Po vyhodnocení výsledků talentové zkoušky zašle ředitel školy zletilému uchazeči nebo zákonnému zástupci nezletilého uchazeče sdělení o výsledku talentové zkoušky, a to nejpozději do 20. února. Pokud uchazeč vykoná talentovou zkoušku úspěšně, pokračuje v přijímacím řízení.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/>
      </w:pPr>
      <w:r w:rsidDel="00000000" w:rsidR="00000000" w:rsidRPr="00000000">
        <w:rPr>
          <w:sz w:val="20"/>
          <w:szCs w:val="20"/>
          <w:rtl w:val="0"/>
        </w:rPr>
        <w:t xml:space="preserve">V souladu s § 60e odst (1) zákona 561/2004 Sb ve znění pozdějších předpisů ředitel školy ukončí hodnocení uchazečů do 2 pracovních dnů po zpřístupnění hodnocení uchazeče v testech z českého jazyka a matematiky Centrem a zveřejní seznam přijatých uchazečů. Nepřijatým uchazečům nebo jejich zákonným zástupcům odešle rozhodnutí o nepřijetí. Na základě bodového zisku budou v každém kole uchazeči seřazeni do výsledkové listiny sestupně dle celkového součtu dosažených bodů.Výsledková listina bude zveřejněna na vývěsce školy a na jejich webových stránkách www.sportgym.cz.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/>
      </w:pPr>
      <w:r w:rsidDel="00000000" w:rsidR="00000000" w:rsidRPr="00000000">
        <w:rPr>
          <w:sz w:val="20"/>
          <w:szCs w:val="20"/>
          <w:rtl w:val="0"/>
        </w:rPr>
        <w:t xml:space="preserve">V prvním kole přijímacího řízení bude přijato přímo prvních 28 uchazečů, kteří splnili podmínky nutné pro přijetí. Dvě místa budou poskytnuta pro případná odvolání.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line="240" w:lineRule="auto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0" locked="0" relativeHeight="0" simplePos="0">
            <wp:simplePos x="0" y="0"/>
            <wp:positionH relativeFrom="margin">
              <wp:posOffset>4629150</wp:posOffset>
            </wp:positionH>
            <wp:positionV relativeFrom="paragraph">
              <wp:posOffset>47625</wp:posOffset>
            </wp:positionV>
            <wp:extent cx="2076450" cy="752475"/>
            <wp:effectExtent b="0" l="0" r="0" t="0"/>
            <wp:wrapSquare wrapText="bothSides" distB="19050" distT="19050" distL="19050" distR="1905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52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Jablonci nad Nisou, 31. října 2016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RNDr. Tomáš Hofrichter, Ph.D., ředitel školy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283.46456692913387" w:top="0" w:left="283.46456692913387" w:right="283.4645669291338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spacing w:after="0" w:lineRule="auto"/>
      <w:contextualSpacing w:val="0"/>
      <w:rPr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2"/>
      <w:bidiVisual w:val="0"/>
      <w:tblW w:w="987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3105"/>
      <w:gridCol w:w="360"/>
      <w:gridCol w:w="6405"/>
      <w:tblGridChange w:id="0">
        <w:tblGrid>
          <w:gridCol w:w="3105"/>
          <w:gridCol w:w="360"/>
          <w:gridCol w:w="6405"/>
        </w:tblGrid>
      </w:tblGridChange>
    </w:tblGrid>
    <w:tr>
      <w:trPr>
        <w:trHeight w:val="1220" w:hRule="atLeast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pBdr/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w:drawing>
              <wp:inline distB="114300" distT="114300" distL="114300" distR="114300">
                <wp:extent cx="938213" cy="541276"/>
                <wp:effectExtent b="0" l="0" r="0" t="0"/>
                <wp:docPr descr="S4bX7le9cLDGDIVDcB8GoKd-7F98pR4WKsnTl4tb02on35rslHv9pJ6aUYdOg4fNrk3TMfECcxmHmfCeQVa0yXhA=s0-d-e1-ft" id="1" name="image2.png"/>
                <a:graphic>
                  <a:graphicData uri="http://schemas.openxmlformats.org/drawingml/2006/picture">
                    <pic:pic>
                      <pic:nvPicPr>
                        <pic:cNvPr descr="S4bX7le9cLDGDIVDcB8GoKd-7F98pR4WKsnTl4tb02on35rslHv9pJ6aUYdOg4fNrk3TMfECcxmHmfCeQVa0yXhA=s0-d-e1-ft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54127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pBdr/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mc:AlternateContent>
              <mc:Choice Requires="wpg">
                <w:drawing>
                  <wp:inline distB="114300" distT="114300" distL="114300" distR="114300">
                    <wp:extent cx="19050" cy="533400"/>
                    <wp:effectExtent b="0" l="0" r="0" t="0"/>
                    <wp:docPr id="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543175" y="333375"/>
                              <a:ext cx="0" cy="51449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 len="lg" w="lg" type="none"/>
                              <a:tailEnd len="lg" w="lg" type="none"/>
                            </a:ln>
                          </wps:spPr>
                          <wps:bodyPr anchorCtr="0" anchor="ctr" bIns="91425" lIns="91425" rIns="91425" tIns="91425"/>
                        </wps:wsp>
                      </a:graphicData>
                    </a:graphic>
                  </wp:inline>
                </w:drawing>
              </mc:Choice>
              <mc:Fallback>
                <w:drawing>
                  <wp:inline distB="114300" distT="114300" distL="114300" distR="114300">
                    <wp:extent cx="19050" cy="533400"/>
                    <wp:effectExtent b="0" l="0" r="0" t="0"/>
                    <wp:docPr id="3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" cy="5334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mc:Fallback>
            </mc:AlternateConten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pBdr/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Gymnázium Dr. Antona Randy, Jablonec nad Nisou, příspěvková organizace</w:t>
          </w:r>
        </w:p>
        <w:p w:rsidR="00000000" w:rsidDel="00000000" w:rsidP="00000000" w:rsidRDefault="00000000" w:rsidRPr="00000000">
          <w:pPr>
            <w:pBdr/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tel: 483 737 611 / fax: 483 737 699 / email: gymrandy13@sportgym.cz</w:t>
          </w:r>
        </w:p>
        <w:p w:rsidR="00000000" w:rsidDel="00000000" w:rsidP="00000000" w:rsidRDefault="00000000" w:rsidRPr="00000000">
          <w:pPr>
            <w:pBdr/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www.sportgym.cz</w:t>
          </w:r>
        </w:p>
        <w:p w:rsidR="00000000" w:rsidDel="00000000" w:rsidP="00000000" w:rsidRDefault="00000000" w:rsidRPr="00000000">
          <w:pPr>
            <w:pBdr/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IČ: 60252537</w:t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pBdr/>
      <w:spacing w:after="0" w:before="0" w:line="276" w:lineRule="auto"/>
      <w:ind w:left="0" w:right="0" w:firstLine="0"/>
      <w:contextualSpacing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/>
      <w:spacing w:after="80" w:before="280" w:line="240" w:lineRule="auto"/>
      <w:contextualSpacing w:val="1"/>
    </w:pPr>
    <w:rPr>
      <w:sz w:val="28"/>
      <w:szCs w:val="28"/>
    </w:rPr>
  </w:style>
  <w:style w:type="paragraph" w:styleId="Heading4">
    <w:name w:val="heading 4"/>
    <w:basedOn w:val="Normal"/>
    <w:next w:val="Normal"/>
    <w:pPr>
      <w:pBdr/>
      <w:spacing w:after="40" w:before="240" w:line="240" w:lineRule="auto"/>
      <w:contextualSpacing w:val="1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cstl.cz/mapa-pracovist/" TargetMode="External"/><Relationship Id="rId6" Type="http://schemas.openxmlformats.org/officeDocument/2006/relationships/image" Target="media/image4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/Relationships>
</file>